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3b99ea1940b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51923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LIPA ČAĐAVICA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379.742,19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434.786,69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427.050,50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494.285,83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47.308,31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59.499,14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2.630,63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3.244,65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2.630,63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3.244,65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123,3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49.938,94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62.743,79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125,6</w:t>
            </w:r>
          </w:p>
        </w:tc>
      </w:tr>
    </w:tbl>
    <w:p>
      <w:pPr>
        <w:spacing w:before="0" w:after="0"/>
      </w:pPr>
    </w:p>
    <w:p>
      <w:r>
        <w:t xml:space="preserve">Manjak prihoda se odnosi na nedospjele obveze za zaposlene, a odnosi se na plaće za redovan rad, doprinosi za zdravstveno osiguranje, doprinosi za mirovinsko osiguranje, obveze za porez i prirez, te naknada za prijevoz na posao i sa posla.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1.486,59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se odnose na tekuće rashode poslovanja, namirnice, opskrba plinom, opskrba električnom energijom, opskrba vodom te će biti podmireno u najkraćem roku.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e65a07572d4d06" /></Relationships>
</file>